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malariagen/ag1000g-phase3-data-paper@efa6f25</w:t>
        </w:r>
      </w:hyperlink>
      <w:r>
        <w:t xml:space="preserve"> </w:t>
      </w:r>
      <w:r>
        <w:t xml:space="preserve">on August 18,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highest quality.</w:t>
      </w:r>
    </w:p>
    <w:p>
      <w:pPr>
        <w:pStyle w:val="BodyText"/>
      </w:pPr>
      <w:r>
        <w:t xml:space="preserve">Genomic features cause unavoidable calling errors in short-read technologies; these features include high divergence from the reference, high homology between regions, copy number variation, presence of transposable elements and others.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eligible to be included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used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efa6f250ad019d3b9553cb84cfbbc9f52ee52c8e" TargetMode="External" /><Relationship Type="http://schemas.openxmlformats.org/officeDocument/2006/relationships/hyperlink" Id="rId20" Target="https://malariagen.github.io/ag1000g-phase3-data-paper/v/efa6f250ad019d3b9553cb84cfbbc9f52ee52c8e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efa6f250ad019d3b9553cb84cfbbc9f52ee52c8e" TargetMode="External" /><Relationship Type="http://schemas.openxmlformats.org/officeDocument/2006/relationships/hyperlink" Id="rId20" Target="https://malariagen.github.io/ag1000g-phase3-data-paper/v/efa6f250ad019d3b9553cb84cfbbc9f52ee52c8e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2020-08-18T09:33:53Z</dcterms:created>
  <dcterms:modified xsi:type="dcterms:W3CDTF">2020-08-18T09:33:53Z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2020-08-18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